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6" w:type="dxa"/>
        <w:tblInd w:w="108" w:type="dxa"/>
        <w:tblLook w:val="04A0"/>
      </w:tblPr>
      <w:tblGrid>
        <w:gridCol w:w="2049"/>
        <w:gridCol w:w="1554"/>
        <w:gridCol w:w="1743"/>
        <w:gridCol w:w="1439"/>
        <w:gridCol w:w="1217"/>
        <w:gridCol w:w="1634"/>
      </w:tblGrid>
      <w:tr w:rsidR="00DD2C37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Default="00F2011E" w:rsidP="004C0F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zh-TW" w:bidi="bn-B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54.9pt;margin-top:-11.65pt;width:74.85pt;height:95.85pt;z-index:251660288;mso-width-relative:margin;mso-height-relative:margin">
                  <v:textbox style="mso-next-textbox:#_x0000_s1028">
                    <w:txbxContent>
                      <w:p w:rsidR="00ED10F7" w:rsidRPr="00ED10F7" w:rsidRDefault="00ED10F7" w:rsidP="00ED10F7">
                        <w:r>
                          <w:t xml:space="preserve">                                                                                                     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0730" cy="922020"/>
                              <wp:effectExtent l="19050" t="0" r="127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0730" cy="922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D2C37" w:rsidRPr="00C80F1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CURRICULUM VITAE</w:t>
            </w:r>
            <w:r w:rsidR="004C0FF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 xml:space="preserve"> OF </w:t>
            </w:r>
          </w:p>
          <w:p w:rsidR="004C0FF8" w:rsidRPr="00C80F16" w:rsidRDefault="004C0FF8" w:rsidP="004C0F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bn-BD"/>
              </w:rPr>
              <w:t>MUHAMMAD NAZMUL SHAHADAT</w:t>
            </w:r>
          </w:p>
        </w:tc>
      </w:tr>
      <w:tr w:rsidR="00DD2C37" w:rsidRPr="005759B5" w:rsidTr="00ED10F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bidi="bn-BD"/>
              </w:rPr>
            </w:pPr>
            <w:r w:rsidRPr="00D07B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bidi="bn-BD"/>
              </w:rPr>
              <w:t>MAILING ADDRESS: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C37" w:rsidRPr="005759B5" w:rsidRDefault="00DD2C37" w:rsidP="00ED10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 xml:space="preserve">    </w:t>
            </w: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D07B51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 xml:space="preserve">Md. Nazmul Shahadat              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D07B51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 xml:space="preserve">    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D07B51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 xml:space="preserve">Flat –C/1, House-15, Road-36,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D07B51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Gulshan-2, Dhaka-1212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D07B51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>Cell: 01710306057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D07B51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</w:pPr>
            <w:r w:rsidRPr="00D07B51">
              <w:rPr>
                <w:rFonts w:eastAsia="Times New Roman" w:cs="Times New Roman"/>
                <w:color w:val="000000"/>
                <w:sz w:val="20"/>
                <w:szCs w:val="20"/>
                <w:lang w:bidi="bn-BD"/>
              </w:rPr>
              <w:t xml:space="preserve">E-mail: Shahadat_21085@yahoo.com 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 xml:space="preserve">Professional Objective: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To build career in Finance</w:t>
            </w:r>
            <w:r w:rsidR="00D16618" w:rsidRPr="005759B5">
              <w:rPr>
                <w:rFonts w:eastAsia="Times New Roman" w:cs="Times New Roman"/>
                <w:color w:val="000000"/>
                <w:lang w:bidi="bn-BD"/>
              </w:rPr>
              <w:t xml:space="preserve"> and Accounts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on well reputed organization, where I would be able to learn, take </w:t>
            </w:r>
            <w:r w:rsidR="008072D8" w:rsidRPr="005759B5">
              <w:rPr>
                <w:rFonts w:eastAsia="Times New Roman" w:cs="Times New Roman"/>
                <w:color w:val="000000"/>
                <w:lang w:bidi="bn-BD"/>
              </w:rPr>
              <w:t>challenge and responsibility, enrich my life from the interaction of different people and organizational climate and act in line with the company’s goal and strategy.</w:t>
            </w:r>
          </w:p>
        </w:tc>
      </w:tr>
      <w:tr w:rsidR="008072D8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D8" w:rsidRPr="005759B5" w:rsidRDefault="008072D8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D8" w:rsidRPr="005759B5" w:rsidRDefault="008072D8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D8" w:rsidRPr="005759B5" w:rsidRDefault="008072D8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D8" w:rsidRPr="005759B5" w:rsidRDefault="008072D8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D8" w:rsidRPr="005759B5" w:rsidRDefault="008072D8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Academic Qualification: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37" w:rsidRPr="005759B5" w:rsidRDefault="00DD2C37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Exam. Title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37" w:rsidRPr="005759B5" w:rsidRDefault="00DD2C37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Major / Group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C37" w:rsidRPr="005759B5" w:rsidRDefault="00DD2C37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Institute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37" w:rsidRPr="005759B5" w:rsidRDefault="00DD2C37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Passing year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C37" w:rsidRPr="005759B5" w:rsidRDefault="00DD2C37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Result</w:t>
            </w: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M.Com.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Accounting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Noakhali Govt. College, National university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</w:t>
            </w:r>
            <w:r w:rsidRPr="005759B5">
              <w:rPr>
                <w:rFonts w:eastAsia="Times New Roman" w:cs="Times New Roman"/>
                <w:color w:val="000000"/>
                <w:vertAlign w:val="superscript"/>
                <w:lang w:bidi="bn-BD"/>
              </w:rPr>
              <w:t>nd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class, 4th</w:t>
            </w: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B.Com.(Hon’s)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Accounting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Noakhali Govt. College, National university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</w:t>
            </w:r>
            <w:r w:rsidRPr="005759B5">
              <w:rPr>
                <w:rFonts w:eastAsia="Times New Roman" w:cs="Times New Roman"/>
                <w:color w:val="000000"/>
                <w:vertAlign w:val="superscript"/>
                <w:lang w:bidi="bn-BD"/>
              </w:rPr>
              <w:t>st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class</w:t>
            </w: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H.S.C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Science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Noakhali Govt. College,      Comilla Board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1999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</w:t>
            </w:r>
            <w:r w:rsidRPr="005759B5">
              <w:rPr>
                <w:rFonts w:eastAsia="Times New Roman" w:cs="Times New Roman"/>
                <w:color w:val="000000"/>
                <w:vertAlign w:val="superscript"/>
                <w:lang w:bidi="bn-BD"/>
              </w:rPr>
              <w:t>nd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division</w:t>
            </w: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S.S.C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Science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Ataturk model high school, Comilla Board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1997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37" w:rsidRPr="005759B5" w:rsidRDefault="00DD2C37" w:rsidP="004D6F5D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</w:t>
            </w:r>
            <w:r w:rsidRPr="005759B5">
              <w:rPr>
                <w:rFonts w:eastAsia="Times New Roman" w:cs="Times New Roman"/>
                <w:color w:val="000000"/>
                <w:vertAlign w:val="superscript"/>
                <w:lang w:bidi="bn-BD"/>
              </w:rPr>
              <w:t>st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division</w:t>
            </w: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Professional Qualification: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Studying at "The Institute of Cost and Management Accountants of Bangladesh (ICMAB)" in the </w:t>
            </w: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Professional Level-1.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Employment History: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1. Accountant (1June, 2008 – Continuing)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Gimteks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Tekstil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Sanayi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ve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Ticaret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Anonim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Sirketi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Bangladesh Liaison office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Company location: Flat no. - C/1, House no- 15, Road no</w:t>
            </w:r>
            <w:proofErr w:type="gramStart"/>
            <w:r w:rsidRPr="005759B5">
              <w:rPr>
                <w:rFonts w:eastAsia="Times New Roman" w:cs="Times New Roman"/>
                <w:color w:val="000000"/>
                <w:lang w:bidi="bn-BD"/>
              </w:rPr>
              <w:t>:36</w:t>
            </w:r>
            <w:proofErr w:type="gram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, Gulshan-02, Dhaka-1212. </w:t>
            </w:r>
          </w:p>
        </w:tc>
      </w:tr>
      <w:tr w:rsidR="00DD2C37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Department: Accounts and Admin.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DD2C37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Duties/Responsibilities:</w:t>
            </w:r>
            <w:r w:rsidR="00BA49FD" w:rsidRPr="005759B5">
              <w:rPr>
                <w:rFonts w:eastAsia="Times New Roman" w:cs="Times New Roman"/>
                <w:color w:val="000000"/>
                <w:lang w:bidi="bn-BD"/>
              </w:rPr>
              <w:t xml:space="preserve"> Handling Cash, Petty Cash, Managing payroll, Preparing 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>Bank reconciliation</w:t>
            </w:r>
          </w:p>
        </w:tc>
      </w:tr>
      <w:tr w:rsidR="00DD2C37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DD2C37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Statement, Monthly Budge</w:t>
            </w:r>
            <w:r w:rsidR="00BA49FD" w:rsidRPr="005759B5">
              <w:rPr>
                <w:rFonts w:eastAsia="Times New Roman" w:cs="Times New Roman"/>
                <w:color w:val="000000"/>
                <w:lang w:bidi="bn-BD"/>
              </w:rPr>
              <w:t xml:space="preserve">ting Activities, Recording to Journal and  ledger, Making 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Monthly Receipts </w:t>
            </w:r>
            <w:r w:rsidR="00BA49FD" w:rsidRPr="005759B5">
              <w:rPr>
                <w:rFonts w:eastAsia="Times New Roman" w:cs="Times New Roman"/>
                <w:color w:val="000000"/>
                <w:lang w:bidi="bn-BD"/>
              </w:rPr>
              <w:br/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and </w:t>
            </w:r>
            <w:r w:rsidR="002B1DA3" w:rsidRPr="005759B5">
              <w:rPr>
                <w:rFonts w:eastAsia="Times New Roman" w:cs="Times New Roman"/>
                <w:color w:val="000000"/>
                <w:lang w:bidi="bn-BD"/>
              </w:rPr>
              <w:t xml:space="preserve">Payments Accounts, Final Accounts and reporting  it to Head office in Turkey, Quarterly Return </w:t>
            </w:r>
          </w:p>
        </w:tc>
      </w:tr>
      <w:tr w:rsidR="00DD2C37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C37" w:rsidRPr="005759B5" w:rsidRDefault="002B1DA3" w:rsidP="002B1DA3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S</w:t>
            </w:r>
            <w:r w:rsidR="00DD2C37" w:rsidRPr="005759B5">
              <w:rPr>
                <w:rFonts w:eastAsia="Times New Roman" w:cs="Times New Roman"/>
                <w:color w:val="000000"/>
                <w:lang w:bidi="bn-BD"/>
              </w:rPr>
              <w:t>ubmission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to Bangladesh Bank, Withholding Tax return submission as per Sec. 75 (A) of IT ordinance,1984 to DCT, Completing Audit Activities, Liaising with Board of Investment, Bangladesh Bank,  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E6439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Turkey Embassy, Foreign Ministry and Company's  Existing Client, Completing the extension of liaison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office permission, Work permit Renewal for foreign expatriate and time to time processing 18/A and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2D8" w:rsidRPr="005759B5" w:rsidRDefault="002B1DA3" w:rsidP="002B1DA3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18/B Permission from Bangladesh Bank as per foreign exchange Regulation Act, 1947.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744F1A" w:rsidP="008072D8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Achievement:</w:t>
            </w:r>
            <w:r w:rsidR="002B1DA3" w:rsidRPr="005759B5">
              <w:rPr>
                <w:rFonts w:eastAsia="Times New Roman" w:cs="Times New Roman"/>
                <w:color w:val="000000"/>
                <w:lang w:bidi="bn-BD"/>
              </w:rPr>
              <w:t xml:space="preserve"> Confident to </w:t>
            </w:r>
            <w:r w:rsidR="008072D8" w:rsidRPr="005759B5">
              <w:rPr>
                <w:rFonts w:eastAsia="Times New Roman" w:cs="Times New Roman"/>
                <w:color w:val="000000"/>
                <w:lang w:bidi="bn-BD"/>
              </w:rPr>
              <w:t>Work independently.</w:t>
            </w:r>
          </w:p>
        </w:tc>
      </w:tr>
      <w:tr w:rsidR="002B1DA3" w:rsidRPr="005759B5" w:rsidTr="00DD2C37">
        <w:trPr>
          <w:trHeight w:val="297"/>
        </w:trPr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6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0F7" w:rsidRDefault="00ED10F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  <w:p w:rsidR="00ED10F7" w:rsidRDefault="00ED10F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  <w:p w:rsidR="00ED10F7" w:rsidRDefault="00ED10F7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lastRenderedPageBreak/>
              <w:t>2.</w:t>
            </w:r>
            <w:r w:rsidR="008072D8"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 xml:space="preserve"> </w:t>
            </w:r>
            <w:r w:rsidR="008072D8"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 xml:space="preserve">Senior </w:t>
            </w: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Executive (22 March, 2007 – 30 May,2008)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lastRenderedPageBreak/>
              <w:t>Group 4 Securitas Bangladesh (P) Ltd.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6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Company location: Road #7, House #8, Baridhara, Dhaka-1212.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Department: Cash Services.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 xml:space="preserve">Duties/Responsibilities: 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>Handle Cash, Carrying cash to different Banks' ATM location, Taka loading and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unloading to </w:t>
            </w:r>
            <w:r w:rsidR="008072D8" w:rsidRPr="005759B5">
              <w:rPr>
                <w:rFonts w:eastAsia="Times New Roman" w:cs="Times New Roman"/>
                <w:color w:val="000000"/>
                <w:lang w:bidi="bn-BD"/>
              </w:rPr>
              <w:t>Company’s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Clients' Automated Teller Machine (ATM), First line maintenance of Automated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teller machine (ATM) and Easy pay Machine (EPM) of company's Client and Report to Operational 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Manager.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6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744F1A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Achievement:</w:t>
            </w:r>
            <w:r w:rsidR="002B1DA3" w:rsidRPr="005759B5">
              <w:rPr>
                <w:rFonts w:eastAsia="Times New Roman" w:cs="Times New Roman"/>
                <w:color w:val="000000"/>
                <w:lang w:bidi="bn-BD"/>
              </w:rPr>
              <w:t xml:space="preserve"> To take pressure in the difficult scenarios.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 xml:space="preserve"> Language Proficiency: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1. Bengali : Mother Language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5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2.  </w:t>
            </w:r>
            <w:r w:rsidRPr="005759B5">
              <w:rPr>
                <w:rFonts w:eastAsia="Times New Roman" w:cs="Times New Roman"/>
                <w:i/>
                <w:iCs/>
                <w:color w:val="000000"/>
                <w:lang w:bidi="bn-BD"/>
              </w:rPr>
              <w:t>English: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Excellent in writing and speaking.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Computer Literacy: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1.  Microsoft office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2.   Internet &amp; E-mail and all basic operations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Training Summary: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Training Title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Institute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Location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Duration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Year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Standard training on VAT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30 hours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2012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Training on SAP (FI Module)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45 hours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2012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Export and Import Through L/C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 days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2012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Emotional Intelligence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 day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2012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Advance Financial </w:t>
            </w:r>
            <w:r w:rsidR="00744F1A" w:rsidRPr="005759B5">
              <w:rPr>
                <w:rFonts w:eastAsia="Times New Roman" w:cs="Times New Roman"/>
                <w:color w:val="000000"/>
                <w:lang w:bidi="bn-BD"/>
              </w:rPr>
              <w:t>Modeling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and Risk Management using MS Excel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30 hours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2012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Professional Analysis and Reporting - Powered by Ms Excel and </w:t>
            </w:r>
            <w:r w:rsidR="00744F1A" w:rsidRPr="005759B5">
              <w:rPr>
                <w:rFonts w:eastAsia="Times New Roman" w:cs="Times New Roman"/>
                <w:color w:val="000000"/>
                <w:lang w:bidi="bn-BD"/>
              </w:rPr>
              <w:t>PowerPoint</w:t>
            </w: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2007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30 hours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2011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Management Skill Development for Admin. Professionals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 days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2011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Business Communication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30 hours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2011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General English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British Council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Dhanmondi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36 hours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2011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Income Tax and VAT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ICMAB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NilKhet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6 days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2011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Changes of Income Tax in Budget, 2011 and Details of Direct Tax Act, 2012 (Proposed)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BDJobs Training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Karwan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Bazar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 day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2011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Office Productivity Training on MS Office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IDB-BISEW(IT Scholarship Project)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Daffodil Institute of IT,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Dhanmondi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180 hours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2008</w:t>
            </w:r>
          </w:p>
        </w:tc>
      </w:tr>
      <w:tr w:rsidR="002B1DA3" w:rsidRPr="005759B5" w:rsidTr="004D6F5D">
        <w:trPr>
          <w:trHeight w:val="297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Accounting Software “Tally”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I.C.M.A.B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5759B5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NilKhet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A3" w:rsidRPr="005759B5" w:rsidRDefault="002B1DA3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 months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DA3" w:rsidRPr="005759B5" w:rsidRDefault="004D6F5D" w:rsidP="004D6F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2007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Personal Details: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Name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Muhammad Nazmul Shahadat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Father’s name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 Muhammad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Shafi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Ullah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Mother’s name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Kamrun Nahar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 xml:space="preserve"> Present Address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 Flat # C/1, House # 15, Road # 36, 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Gulshan-2, Dhaka-1212.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Permanent Address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 Village -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Norshingpur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, Post office -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Kabirhat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, 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P.S.-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Kabirhat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Noakhali.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Home District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Noakhali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Date Of Birth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31/12/1981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 xml:space="preserve"> Blood Group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B+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 xml:space="preserve"> Marital Status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Single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Religion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Muslim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Nationality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Bangladeshi (By Birth)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lang w:bidi="bn-BD"/>
              </w:rPr>
              <w:t>Interests</w:t>
            </w: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· Reading books, Playing Cricket, Watching Television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· Internet Browsing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· Travelling historical places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bidi="bn-BD"/>
              </w:rPr>
            </w:pPr>
          </w:p>
        </w:tc>
        <w:tc>
          <w:tcPr>
            <w:tcW w:w="7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· Team work and Learning New things.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Certification: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I, the undersigned, certify that, to the best my knowledge and belief this CV correctly describes 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gramStart"/>
            <w:r w:rsidRPr="005759B5">
              <w:rPr>
                <w:rFonts w:eastAsia="Times New Roman" w:cs="Times New Roman"/>
                <w:color w:val="000000"/>
                <w:lang w:bidi="bn-BD"/>
              </w:rPr>
              <w:t>my</w:t>
            </w:r>
            <w:proofErr w:type="gram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qualification, my experience and me. I understand that my willful misstatement described here in</w:t>
            </w:r>
          </w:p>
        </w:tc>
      </w:tr>
      <w:tr w:rsidR="002B1DA3" w:rsidRPr="005759B5" w:rsidTr="00DD2C37">
        <w:trPr>
          <w:trHeight w:val="297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proofErr w:type="gramStart"/>
            <w:r w:rsidRPr="005759B5">
              <w:rPr>
                <w:rFonts w:eastAsia="Times New Roman" w:cs="Times New Roman"/>
                <w:color w:val="000000"/>
                <w:lang w:bidi="bn-BD"/>
              </w:rPr>
              <w:t>may</w:t>
            </w:r>
            <w:proofErr w:type="gram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lead to my disqualification or dismissal, if employed.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</w:pPr>
            <w:r w:rsidRPr="005759B5">
              <w:rPr>
                <w:rFonts w:eastAsia="Times New Roman" w:cs="Times New Roman"/>
                <w:b/>
                <w:bCs/>
                <w:color w:val="000000"/>
                <w:u w:val="single"/>
                <w:lang w:bidi="bn-BD"/>
              </w:rPr>
              <w:t>Reference(s)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Name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:A.K.M.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Alauddin</w:t>
            </w:r>
            <w:proofErr w:type="spellEnd"/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Md.Iftekhar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Uddin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Organization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:Bangladesh Navy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Dutch Bangla Bank Ltd.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Designation 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:Deputy Director of  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First Assistant Vice President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Naval Engineering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Address 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:BNS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Haji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Mohsin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,  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: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Sena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Kalyen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Bhaban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, 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 Dhaka-1206.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 </w:t>
            </w:r>
            <w:proofErr w:type="spellStart"/>
            <w:r w:rsidRPr="005759B5">
              <w:rPr>
                <w:rFonts w:eastAsia="Times New Roman" w:cs="Times New Roman"/>
                <w:color w:val="000000"/>
                <w:lang w:bidi="bn-BD"/>
              </w:rPr>
              <w:t>Motijheel</w:t>
            </w:r>
            <w:proofErr w:type="spellEnd"/>
            <w:r w:rsidRPr="005759B5">
              <w:rPr>
                <w:rFonts w:eastAsia="Times New Roman" w:cs="Times New Roman"/>
                <w:color w:val="000000"/>
                <w:lang w:bidi="bn-BD"/>
              </w:rPr>
              <w:t>, Dhaka-1000.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 xml:space="preserve">Cell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01713-332030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: 01730-707946</w:t>
            </w: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  <w:tr w:rsidR="002B1DA3" w:rsidRPr="005759B5" w:rsidTr="00DD2C37">
        <w:trPr>
          <w:trHeight w:val="297"/>
        </w:trPr>
        <w:tc>
          <w:tcPr>
            <w:tcW w:w="36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  <w:r w:rsidRPr="005759B5">
              <w:rPr>
                <w:rFonts w:eastAsia="Times New Roman" w:cs="Times New Roman"/>
                <w:color w:val="000000"/>
                <w:lang w:bidi="bn-BD"/>
              </w:rPr>
              <w:t>Muhammad Nazmul Shahadat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DA3" w:rsidRPr="005759B5" w:rsidRDefault="002B1DA3" w:rsidP="00DD2C37">
            <w:pPr>
              <w:spacing w:after="0" w:line="240" w:lineRule="auto"/>
              <w:rPr>
                <w:rFonts w:eastAsia="Times New Roman" w:cs="Times New Roman"/>
                <w:color w:val="000000"/>
                <w:lang w:bidi="bn-BD"/>
              </w:rPr>
            </w:pPr>
          </w:p>
        </w:tc>
      </w:tr>
    </w:tbl>
    <w:p w:rsidR="006C1167" w:rsidRPr="005759B5" w:rsidRDefault="006C1167"/>
    <w:sectPr w:rsidR="006C1167" w:rsidRPr="005759B5" w:rsidSect="00DD2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C37"/>
    <w:rsid w:val="00135ACC"/>
    <w:rsid w:val="002B1DA3"/>
    <w:rsid w:val="004C0FF8"/>
    <w:rsid w:val="004D6F5D"/>
    <w:rsid w:val="005759B5"/>
    <w:rsid w:val="006C1167"/>
    <w:rsid w:val="00744F1A"/>
    <w:rsid w:val="008072D8"/>
    <w:rsid w:val="00A74005"/>
    <w:rsid w:val="00BA49FD"/>
    <w:rsid w:val="00BF7043"/>
    <w:rsid w:val="00C80F16"/>
    <w:rsid w:val="00D07B51"/>
    <w:rsid w:val="00D16618"/>
    <w:rsid w:val="00D50420"/>
    <w:rsid w:val="00DA600F"/>
    <w:rsid w:val="00DD2C37"/>
    <w:rsid w:val="00ED10F7"/>
    <w:rsid w:val="00F2011E"/>
    <w:rsid w:val="00F5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F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Nazmul Shahadat</dc:creator>
  <cp:keywords/>
  <dc:description/>
  <cp:lastModifiedBy>Md. Nazmul Shahadat</cp:lastModifiedBy>
  <cp:revision>2</cp:revision>
  <dcterms:created xsi:type="dcterms:W3CDTF">2012-05-24T17:57:00Z</dcterms:created>
  <dcterms:modified xsi:type="dcterms:W3CDTF">2012-05-24T17:57:00Z</dcterms:modified>
</cp:coreProperties>
</file>